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F55" w:rsidRDefault="002879F1" w:rsidP="002879F1">
      <w:pPr>
        <w:widowControl/>
        <w:adjustRightInd w:val="0"/>
        <w:snapToGrid w:val="0"/>
        <w:spacing w:beforeLines="50" w:afterLines="50" w:line="576" w:lineRule="exact"/>
        <w:ind w:leftChars="322" w:left="1696" w:hangingChars="300" w:hanging="1020"/>
        <w:rPr>
          <w:rFonts w:ascii="Times New Roman" w:eastAsia="方正仿宋_GBK" w:hAnsi="Times New Roman" w:cs="Times New Roman"/>
          <w:sz w:val="34"/>
          <w:szCs w:val="34"/>
        </w:rPr>
      </w:pPr>
      <w:r>
        <w:rPr>
          <w:rFonts w:ascii="Times New Roman" w:eastAsia="方正仿宋_GBK" w:hAnsi="Times New Roman" w:cs="Times New Roman" w:hint="eastAsia"/>
          <w:sz w:val="34"/>
          <w:szCs w:val="34"/>
        </w:rPr>
        <w:t>附件：</w:t>
      </w:r>
    </w:p>
    <w:p w:rsidR="00645F55" w:rsidRDefault="00645F55" w:rsidP="002879F1">
      <w:pPr>
        <w:widowControl/>
        <w:adjustRightInd w:val="0"/>
        <w:snapToGrid w:val="0"/>
        <w:spacing w:beforeLines="50" w:afterLines="50" w:line="576" w:lineRule="exact"/>
        <w:ind w:leftChars="322" w:left="1696" w:hangingChars="300" w:hanging="1020"/>
        <w:rPr>
          <w:rFonts w:ascii="Times New Roman" w:eastAsia="方正仿宋_GBK" w:hAnsi="Times New Roman" w:cs="Times New Roman"/>
          <w:sz w:val="34"/>
          <w:szCs w:val="34"/>
        </w:rPr>
      </w:pPr>
    </w:p>
    <w:tbl>
      <w:tblPr>
        <w:tblW w:w="10185" w:type="dxa"/>
        <w:tblInd w:w="-924" w:type="dxa"/>
        <w:tblLayout w:type="fixed"/>
        <w:tblCellMar>
          <w:left w:w="0" w:type="dxa"/>
          <w:right w:w="0" w:type="dxa"/>
        </w:tblCellMar>
        <w:tblLook w:val="04A0"/>
      </w:tblPr>
      <w:tblGrid>
        <w:gridCol w:w="615"/>
        <w:gridCol w:w="1845"/>
        <w:gridCol w:w="2625"/>
        <w:gridCol w:w="720"/>
        <w:gridCol w:w="750"/>
        <w:gridCol w:w="3630"/>
      </w:tblGrid>
      <w:tr w:rsidR="00645F55">
        <w:trPr>
          <w:trHeight w:val="500"/>
        </w:trPr>
        <w:tc>
          <w:tcPr>
            <w:tcW w:w="101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5F55" w:rsidRDefault="002879F1">
            <w:pPr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lang/>
              </w:rPr>
            </w:pPr>
            <w:r>
              <w:rPr>
                <w:rFonts w:ascii="Times New Roman" w:eastAsia="方正小标宋简体" w:hAnsi="Times New Roman" w:cs="Times New Roman"/>
                <w:bCs/>
                <w:sz w:val="32"/>
                <w:szCs w:val="32"/>
              </w:rPr>
              <w:t>盐城东方</w:t>
            </w:r>
            <w:r>
              <w:rPr>
                <w:rFonts w:ascii="Times New Roman" w:eastAsia="方正小标宋简体" w:hAnsi="Times New Roman" w:cs="Times New Roman" w:hint="eastAsia"/>
                <w:bCs/>
                <w:sz w:val="32"/>
                <w:szCs w:val="32"/>
              </w:rPr>
              <w:t>建设投资股份有限公司</w:t>
            </w:r>
            <w:r>
              <w:rPr>
                <w:rFonts w:ascii="Times New Roman" w:eastAsia="方正小标宋简体" w:hAnsi="Times New Roman" w:cs="Times New Roman"/>
                <w:bCs/>
                <w:sz w:val="32"/>
                <w:szCs w:val="32"/>
              </w:rPr>
              <w:t>2020</w:t>
            </w:r>
            <w:r>
              <w:rPr>
                <w:rFonts w:ascii="Times New Roman" w:eastAsia="方正小标宋简体" w:hAnsi="Times New Roman" w:cs="Times New Roman"/>
                <w:bCs/>
                <w:sz w:val="32"/>
                <w:szCs w:val="32"/>
              </w:rPr>
              <w:t>年度防雷整改工程</w:t>
            </w:r>
          </w:p>
        </w:tc>
      </w:tr>
      <w:tr w:rsidR="00645F55">
        <w:trPr>
          <w:trHeight w:val="50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5F55" w:rsidRDefault="002879F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序号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45F55" w:rsidRDefault="002879F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整改项目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45F55" w:rsidRDefault="002879F1">
            <w:pPr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项目工作内容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5F55" w:rsidRDefault="002879F1">
            <w:pPr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单位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5F55" w:rsidRDefault="002879F1">
            <w:pPr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数量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5F55" w:rsidRDefault="002879F1">
            <w:pPr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备注</w:t>
            </w:r>
          </w:p>
        </w:tc>
      </w:tr>
      <w:tr w:rsidR="00645F55">
        <w:trPr>
          <w:trHeight w:val="50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5F55" w:rsidRDefault="002879F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一、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45F55" w:rsidRDefault="002879F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光电产业园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45F55" w:rsidRDefault="00645F5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5F55" w:rsidRDefault="00645F5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5F55" w:rsidRDefault="00645F5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5F55" w:rsidRDefault="00645F5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645F55">
        <w:trPr>
          <w:trHeight w:val="66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5F55" w:rsidRDefault="002879F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45F55" w:rsidRDefault="002879F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光电产业园科技研发区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4#LED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封装厂房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45F55" w:rsidRDefault="002879F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屋面西侧接闪带倒伏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5F55" w:rsidRDefault="002879F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项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5F55" w:rsidRDefault="002879F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5F55" w:rsidRDefault="002879F1">
            <w:pPr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、扶正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、脱落焊接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、刷漆处理</w:t>
            </w:r>
          </w:p>
        </w:tc>
      </w:tr>
      <w:tr w:rsidR="00645F55">
        <w:trPr>
          <w:trHeight w:val="66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5F55" w:rsidRDefault="002879F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45F55" w:rsidRDefault="002879F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光电产业园科技研发区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3#LED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封装厂房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45F55" w:rsidRDefault="002879F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屋面东北角及东侧接闪电倒伏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5F55" w:rsidRDefault="002879F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项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5F55" w:rsidRDefault="002879F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5F55" w:rsidRDefault="002879F1">
            <w:pPr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、扶正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、脱落焊接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、刷漆处理</w:t>
            </w:r>
          </w:p>
        </w:tc>
      </w:tr>
      <w:tr w:rsidR="00645F55">
        <w:trPr>
          <w:trHeight w:val="50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5F55" w:rsidRDefault="002879F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二、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45F55" w:rsidRDefault="002879F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软件园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45F55" w:rsidRDefault="00645F55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5F55" w:rsidRDefault="00645F5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5F55" w:rsidRDefault="00645F5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5F55" w:rsidRDefault="00645F55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645F55">
        <w:trPr>
          <w:trHeight w:val="126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5F55" w:rsidRDefault="002879F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3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45F55" w:rsidRDefault="002879F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盐城国际软件园和服务外包基地二期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8#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楼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45F55" w:rsidRDefault="002879F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东单元强电井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17F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13F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10FSPD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损坏，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              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西单元强电井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17F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17ALE1(16F)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13ALE1(12F)SPD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损坏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5F55" w:rsidRDefault="002879F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个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5F55" w:rsidRDefault="002879F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6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45F55" w:rsidRDefault="002879F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二级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SPD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，浪涌品牌与去年“江苏沿海东方置业股份有限公司已建项目防雷设施整改工程”的品牌一致</w:t>
            </w:r>
          </w:p>
        </w:tc>
      </w:tr>
      <w:tr w:rsidR="00645F55">
        <w:trPr>
          <w:trHeight w:val="50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5F55" w:rsidRDefault="002879F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三、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45F55" w:rsidRDefault="002879F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韩资工业园四期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45F55" w:rsidRDefault="00645F55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5F55" w:rsidRDefault="00645F5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5F55" w:rsidRDefault="00645F5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5F55" w:rsidRDefault="00645F55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645F55">
        <w:trPr>
          <w:trHeight w:val="124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5F55" w:rsidRDefault="002879F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4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45F55" w:rsidRDefault="002879F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韩资工业园四期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2#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标准厂房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45F55" w:rsidRDefault="002879F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车间西北角浪涌保护器损坏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5F55" w:rsidRDefault="002879F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个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5F55" w:rsidRDefault="002879F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45F55" w:rsidRDefault="002879F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二级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SPD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，浪涌品牌与去年“江苏沿海东方置业股份有限公司已建项目防雷设施整改工程”的品牌一致</w:t>
            </w:r>
          </w:p>
        </w:tc>
      </w:tr>
      <w:tr w:rsidR="00645F55">
        <w:trPr>
          <w:trHeight w:val="124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5F55" w:rsidRDefault="002879F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5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45F55" w:rsidRDefault="002879F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韩资工业园四期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7#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标准厂房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45F55" w:rsidRDefault="002879F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配电间进线柜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SPD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配置不符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5F55" w:rsidRDefault="002879F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个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5F55" w:rsidRDefault="002879F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45F55" w:rsidRDefault="002879F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二级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SPD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，浪涌品牌与去年“江苏沿海东方置业股份有限公司已建项目防雷设施整改工程”的品牌一致</w:t>
            </w:r>
          </w:p>
        </w:tc>
      </w:tr>
      <w:tr w:rsidR="00645F55">
        <w:trPr>
          <w:trHeight w:val="124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5F55" w:rsidRDefault="002879F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6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45F55" w:rsidRDefault="002879F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韩资工业园四期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8#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标准厂房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45F55" w:rsidRDefault="002879F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车间东北角电源柜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SPD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模块损坏，车间中间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个电源箱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SPD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模块损坏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5F55" w:rsidRDefault="002879F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个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5F55" w:rsidRDefault="002879F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3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45F55" w:rsidRDefault="002879F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二级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SPD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，浪涌品牌与去年“江苏沿海东方置业股份有限公司已建项目防雷设施整改工程”的品牌一致</w:t>
            </w:r>
          </w:p>
        </w:tc>
      </w:tr>
      <w:tr w:rsidR="00645F55">
        <w:trPr>
          <w:trHeight w:val="50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5F55" w:rsidRDefault="002879F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四、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45F55" w:rsidRDefault="002879F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韩资工业园三期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45F55" w:rsidRDefault="00645F55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5F55" w:rsidRDefault="00645F5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5F55" w:rsidRDefault="00645F5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5F55" w:rsidRDefault="00645F55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645F55">
        <w:trPr>
          <w:trHeight w:val="136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5F55" w:rsidRDefault="002879F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7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45F55" w:rsidRDefault="002879F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韩资工业园三期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8#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车间（即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8#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标准厂房）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45F55" w:rsidRDefault="002879F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层配电房进线总箱浪涌保护器更换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5F55" w:rsidRDefault="002879F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个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5F55" w:rsidRDefault="002879F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45F55" w:rsidRDefault="002879F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一级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SPD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，，浪涌品牌与去年“江苏沿海东方置业股份有限公司已建项目防雷设施整改工程”的品牌一致</w:t>
            </w:r>
          </w:p>
        </w:tc>
      </w:tr>
      <w:tr w:rsidR="00645F55">
        <w:trPr>
          <w:trHeight w:val="136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5F55" w:rsidRDefault="002879F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lastRenderedPageBreak/>
              <w:t>8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45F55" w:rsidRDefault="002879F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韩资工业园三期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9#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车间（即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9#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标准厂房）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45F55" w:rsidRDefault="002879F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层配电房厂房总柜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个，动力柜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个，照明箱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个，无浪涌保护器，新增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5F55" w:rsidRDefault="002879F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个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5F55" w:rsidRDefault="002879F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3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45F55" w:rsidRDefault="002879F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一级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SPD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，，浪涌品牌与去年“江苏沿海东方置业股份有限公司已建项目防雷设施整改工程”的品牌一致</w:t>
            </w:r>
          </w:p>
        </w:tc>
      </w:tr>
      <w:tr w:rsidR="00645F55">
        <w:trPr>
          <w:trHeight w:val="136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5F55" w:rsidRDefault="002879F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9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45F55" w:rsidRDefault="002879F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韩资工业园三期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9#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车间（即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9#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标准厂房）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45F55" w:rsidRDefault="002879F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西半边厂房动力柜浪涌保护器型号小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5F55" w:rsidRDefault="002879F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个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5F55" w:rsidRDefault="002879F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45F55" w:rsidRDefault="002879F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一级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SPD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，，浪涌品牌与去年“江苏沿海东方置业股份有限公司已建项目防雷设施整改工程”的品牌一致</w:t>
            </w:r>
          </w:p>
        </w:tc>
      </w:tr>
      <w:tr w:rsidR="00645F55">
        <w:trPr>
          <w:trHeight w:val="50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5F55" w:rsidRDefault="002879F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五、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45F55" w:rsidRDefault="002879F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新能源标准厂房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45F55" w:rsidRDefault="00645F55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5F55" w:rsidRDefault="00645F5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5F55" w:rsidRDefault="00645F5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5F55" w:rsidRDefault="00645F55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645F55">
        <w:trPr>
          <w:trHeight w:val="66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5F55" w:rsidRDefault="002879F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45F55" w:rsidRDefault="002879F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新能源汽车及汽车零部件产业园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1#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标准厂房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45F55" w:rsidRDefault="002879F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层强电井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个浪涌保护器接线有问题，修复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5F55" w:rsidRDefault="002879F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项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5F55" w:rsidRDefault="002879F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5F55" w:rsidRDefault="00645F55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645F55">
        <w:trPr>
          <w:trHeight w:val="134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5F55" w:rsidRDefault="002879F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45F55" w:rsidRDefault="002879F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新能源汽车及汽车零部件产业园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5#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标准厂房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45F55" w:rsidRDefault="002879F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一层东空调配电箱无浪涌保护器，新增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5F55" w:rsidRDefault="002879F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个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5F55" w:rsidRDefault="002879F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45F55" w:rsidRDefault="002879F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二级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SPD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，浪涌品牌与去年“江苏沿海东方置业股份有限公司已建项目防雷设施整改工程”的品牌一致</w:t>
            </w:r>
          </w:p>
        </w:tc>
      </w:tr>
      <w:tr w:rsidR="00645F55">
        <w:trPr>
          <w:trHeight w:val="50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5F55" w:rsidRDefault="002879F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六、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45F55" w:rsidRDefault="002879F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韩资园东方电子厂房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45F55" w:rsidRDefault="00645F55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5F55" w:rsidRDefault="00645F5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5F55" w:rsidRDefault="00645F5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5F55" w:rsidRDefault="00645F55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645F55">
        <w:trPr>
          <w:trHeight w:val="336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5F55" w:rsidRDefault="002879F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45F55" w:rsidRDefault="002879F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韩资工业园东方电子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2#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厂房、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3#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厂房、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4#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厂房、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6#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厂房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45F55" w:rsidRDefault="002879F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2#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厂房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1ALa2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、（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层西南角）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2ALa1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、（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层西侧）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1APb1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层东北角）浪涌损坏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                         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3#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厂房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1ALE2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层东北角）、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3AL5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层东侧中间）、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4AL1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层西南角）配电箱浪涌损坏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                 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4#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厂房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2AL3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层西北角）、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2ALE2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层西北角）、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2AL5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层西侧中间）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                                 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6#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厂房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3ALB3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层西北角）、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4ALEa1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层东北角）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5F55" w:rsidRDefault="002879F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个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5F55" w:rsidRDefault="002879F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11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45F55" w:rsidRDefault="002879F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二级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SPD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，浪涌品牌与去年“江苏沿海东方置业股份有限公司已建项目防雷设施整改工程”的品牌一致</w:t>
            </w:r>
          </w:p>
        </w:tc>
      </w:tr>
    </w:tbl>
    <w:p w:rsidR="00645F55" w:rsidRDefault="00645F55" w:rsidP="00645F55">
      <w:pPr>
        <w:widowControl/>
        <w:adjustRightInd w:val="0"/>
        <w:snapToGrid w:val="0"/>
        <w:spacing w:beforeLines="50" w:afterLines="50" w:line="576" w:lineRule="exact"/>
        <w:ind w:leftChars="322" w:left="1696" w:hangingChars="300" w:hanging="1020"/>
        <w:rPr>
          <w:rFonts w:ascii="Times New Roman" w:eastAsia="方正仿宋_GBK" w:hAnsi="Times New Roman" w:cs="Times New Roman"/>
          <w:sz w:val="34"/>
          <w:szCs w:val="34"/>
        </w:rPr>
      </w:pPr>
    </w:p>
    <w:sectPr w:rsidR="00645F55" w:rsidSect="00645F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仿宋_GBK">
    <w:altName w:val="清茶楷体预览版"/>
    <w:panose1 w:val="03000509000000000000"/>
    <w:charset w:val="86"/>
    <w:family w:val="script"/>
    <w:pitch w:val="default"/>
    <w:sig w:usb0="00000000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0167B3A"/>
    <w:multiLevelType w:val="singleLevel"/>
    <w:tmpl w:val="E0167B3A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47750D12"/>
    <w:rsid w:val="002879F1"/>
    <w:rsid w:val="00645F55"/>
    <w:rsid w:val="0AAD5DFE"/>
    <w:rsid w:val="10A12ABE"/>
    <w:rsid w:val="15C83AC8"/>
    <w:rsid w:val="1DB149BF"/>
    <w:rsid w:val="2E254A66"/>
    <w:rsid w:val="345C18EE"/>
    <w:rsid w:val="465E4943"/>
    <w:rsid w:val="47750D12"/>
    <w:rsid w:val="4A223EC1"/>
    <w:rsid w:val="533E3D35"/>
    <w:rsid w:val="54C46DAA"/>
    <w:rsid w:val="704057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5F5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219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左其杭</dc:creator>
  <cp:lastModifiedBy>Administrator</cp:lastModifiedBy>
  <cp:revision>2</cp:revision>
  <cp:lastPrinted>2020-08-12T08:20:00Z</cp:lastPrinted>
  <dcterms:created xsi:type="dcterms:W3CDTF">2020-08-12T08:51:00Z</dcterms:created>
  <dcterms:modified xsi:type="dcterms:W3CDTF">2020-08-12T08:51:00Z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